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bidi w:val="1"/>
        <w:spacing w:after="0" w:before="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bidi w:val="1"/>
        <w:spacing w:after="0" w:before="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bidi w:val="1"/>
        <w:spacing w:after="0" w:line="360" w:lineRule="auto"/>
        <w:jc w:val="center"/>
        <w:rPr>
          <w:rFonts w:ascii="David" w:cs="David" w:eastAsia="David" w:hAnsi="David"/>
          <w:color w:val="000000"/>
          <w:sz w:val="28"/>
          <w:szCs w:val="28"/>
        </w:rPr>
      </w:pPr>
      <w:bookmarkStart w:colFirst="0" w:colLast="0" w:name="_5e6srdfdcf83" w:id="1"/>
      <w:bookmarkEnd w:id="1"/>
      <w:r w:rsidDel="00000000" w:rsidR="00000000" w:rsidRPr="00000000">
        <w:rPr>
          <w:sz w:val="40"/>
          <w:szCs w:val="40"/>
          <w:rtl w:val="1"/>
        </w:rPr>
        <w:t xml:space="preserve">כיתה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ח</w:t>
      </w:r>
      <w:r w:rsidDel="00000000" w:rsidR="00000000" w:rsidRPr="00000000">
        <w:rPr>
          <w:sz w:val="40"/>
          <w:szCs w:val="40"/>
          <w:rtl w:val="1"/>
        </w:rPr>
        <w:t xml:space="preserve"> - </w:t>
      </w:r>
      <w:r w:rsidDel="00000000" w:rsidR="00000000" w:rsidRPr="00000000">
        <w:rPr>
          <w:sz w:val="40"/>
          <w:szCs w:val="40"/>
          <w:rtl w:val="1"/>
        </w:rPr>
        <w:t xml:space="preserve">מפרט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תכנים</w:t>
      </w:r>
      <w:bookmarkStart w:colFirst="0" w:colLast="0" w:name="9jehnai5fli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jc w:val="center"/>
        <w:rPr>
          <w:rFonts w:ascii="David" w:cs="David" w:eastAsia="David" w:hAnsi="David"/>
          <w:b w:val="1"/>
          <w:sz w:val="32"/>
          <w:szCs w:val="32"/>
        </w:rPr>
      </w:pPr>
      <w:bookmarkStart w:colFirst="0" w:colLast="0" w:name="_ugu4jx9yyogo" w:id="2"/>
      <w:bookmarkEnd w:id="2"/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מיקוד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במדע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וטכנולוגיה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בחט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תשפ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ו</w:t>
      </w:r>
    </w:p>
    <w:p w:rsidR="00000000" w:rsidDel="00000000" w:rsidP="00000000" w:rsidRDefault="00000000" w:rsidRPr="00000000" w14:paraId="00000006">
      <w:pPr>
        <w:bidi w:val="1"/>
        <w:spacing w:after="0" w:line="360" w:lineRule="auto"/>
        <w:ind w:left="0" w:firstLine="0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bidi w:val="1"/>
        <w:spacing w:after="0" w:line="360" w:lineRule="auto"/>
        <w:ind w:left="360" w:hanging="360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תכנים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ללמדם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1"/>
        </w:rPr>
        <w:t xml:space="preserve">ברמה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1"/>
        </w:rPr>
        <w:t xml:space="preserve">בסיסית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נכללו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שחלקם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נלמדים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ספיראלי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ושלהבנה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חשיבה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שמשקפת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ולהבנה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בסיסית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מופיעים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בטבלת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מיקוד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שבהמשך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1"/>
        </w:rPr>
        <w:t xml:space="preserve">בצבע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1"/>
        </w:rPr>
        <w:t xml:space="preserve">כחול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ללמדם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ברמה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מעמיקה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נכללו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שמהווים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לנושאים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שהיקפם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שלהבנה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הפשטה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להוראתם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הקצאת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מופיעים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בטבלת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מיקוד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שבהמשך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בצבע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חום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1"/>
        </w:rPr>
        <w:t xml:space="preserve">רשות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בקבוצה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נכללים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בהיקף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-20%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מתוכנית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מופיעים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בטבלת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מיקוד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שבהמשך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1"/>
        </w:rPr>
        <w:t xml:space="preserve">בצבע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1"/>
        </w:rPr>
        <w:t xml:space="preserve">תכלת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bidi w:val="1"/>
        <w:spacing w:after="0" w:line="360" w:lineRule="auto"/>
        <w:ind w:left="360" w:hanging="36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בדגש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אוריינות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מדעית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ind w:left="360" w:firstLine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נעשה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מיפוי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מחודש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הפעילויות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תפיסת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המתחדשת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בדגש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אוריינות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מדעית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bidi w:val="1"/>
        <w:spacing w:after="0" w:line="360" w:lineRule="auto"/>
        <w:ind w:left="360" w:firstLine="0"/>
        <w:rPr/>
      </w:pP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שימו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: 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הוראה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מפורשת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יכולה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להיעשות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בשילוב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מהנושאים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שבתוכנית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הלימודים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שיקול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הדעת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המלצות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לשילוב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מופיעות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בטבלאות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מפרטי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התוכן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ומסומנות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בסמליל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     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2867025</wp:posOffset>
            </wp:positionH>
            <wp:positionV relativeFrom="paragraph">
              <wp:posOffset>387350</wp:posOffset>
            </wp:positionV>
            <wp:extent cx="268107" cy="271780"/>
            <wp:effectExtent b="0" l="0" r="0" t="0"/>
            <wp:wrapNone/>
            <wp:docPr descr="×ª××× × ×§×©××¨×" id="2" name="image1.png"/>
            <a:graphic>
              <a:graphicData uri="http://schemas.openxmlformats.org/drawingml/2006/picture">
                <pic:pic>
                  <pic:nvPicPr>
                    <pic:cNvPr descr="×ª××× × ×§×©××¨×" id="0" name="image1.png"/>
                    <pic:cNvPicPr preferRelativeResize="0"/>
                  </pic:nvPicPr>
                  <pic:blipFill>
                    <a:blip r:embed="rId6"/>
                    <a:srcRect b="805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107" cy="271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bidi w:val="1"/>
        <w:spacing w:after="0"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מיקוד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הלמידה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תשפ</w:t>
      </w:r>
      <w:r w:rsidDel="00000000" w:rsidR="00000000" w:rsidRPr="00000000">
        <w:rPr>
          <w:b w:val="1"/>
          <w:sz w:val="28"/>
          <w:szCs w:val="28"/>
          <w:rtl w:val="1"/>
        </w:rPr>
        <w:t xml:space="preserve">"</w:t>
      </w:r>
      <w:r w:rsidDel="00000000" w:rsidR="00000000" w:rsidRPr="00000000">
        <w:rPr>
          <w:b w:val="1"/>
          <w:sz w:val="28"/>
          <w:szCs w:val="28"/>
          <w:rtl w:val="1"/>
        </w:rPr>
        <w:t xml:space="preserve">ו</w:t>
      </w:r>
    </w:p>
    <w:p w:rsidR="00000000" w:rsidDel="00000000" w:rsidP="00000000" w:rsidRDefault="00000000" w:rsidRPr="00000000" w14:paraId="0000000F">
      <w:pPr>
        <w:bidi w:val="1"/>
        <w:rPr>
          <w:rFonts w:ascii="David" w:cs="David" w:eastAsia="David" w:hAnsi="David"/>
          <w:sz w:val="24"/>
          <w:szCs w:val="24"/>
        </w:rPr>
      </w:pPr>
      <w:hyperlink r:id="rId7">
        <w:r w:rsidDel="00000000" w:rsidR="00000000" w:rsidRPr="00000000">
          <w:rPr>
            <w:rFonts w:ascii="David" w:cs="David" w:eastAsia="David" w:hAnsi="David"/>
            <w:b w:val="1"/>
            <w:color w:val="0000ff"/>
            <w:sz w:val="32"/>
            <w:szCs w:val="32"/>
            <w:u w:val="single"/>
            <w:rtl w:val="1"/>
          </w:rPr>
          <w:t xml:space="preserve">תוכנית</w:t>
        </w:r>
      </w:hyperlink>
      <w:hyperlink r:id="rId8">
        <w:r w:rsidDel="00000000" w:rsidR="00000000" w:rsidRPr="00000000">
          <w:rPr>
            <w:rFonts w:ascii="David" w:cs="David" w:eastAsia="David" w:hAnsi="David"/>
            <w:b w:val="1"/>
            <w:color w:val="0000ff"/>
            <w:sz w:val="32"/>
            <w:szCs w:val="32"/>
            <w:u w:val="single"/>
            <w:rtl w:val="1"/>
          </w:rPr>
          <w:t xml:space="preserve"> </w:t>
        </w:r>
      </w:hyperlink>
      <w:hyperlink r:id="rId9">
        <w:r w:rsidDel="00000000" w:rsidR="00000000" w:rsidRPr="00000000">
          <w:rPr>
            <w:rFonts w:ascii="David" w:cs="David" w:eastAsia="David" w:hAnsi="David"/>
            <w:b w:val="1"/>
            <w:color w:val="0000ff"/>
            <w:sz w:val="32"/>
            <w:szCs w:val="32"/>
            <w:u w:val="single"/>
            <w:rtl w:val="1"/>
          </w:rPr>
          <w:t xml:space="preserve">הלימודים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60" w:tblpY="1"/>
        <w:bidiVisual w:val="1"/>
        <w:tblW w:w="8185.999999999999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8"/>
        <w:gridCol w:w="3130"/>
        <w:gridCol w:w="1886"/>
        <w:gridCol w:w="1452"/>
        <w:tblGridChange w:id="0">
          <w:tblGrid>
            <w:gridCol w:w="1718"/>
            <w:gridCol w:w="3130"/>
            <w:gridCol w:w="1886"/>
            <w:gridCol w:w="1452"/>
          </w:tblGrid>
        </w:tblGridChange>
      </w:tblGrid>
      <w:tr>
        <w:trPr>
          <w:cantSplit w:val="0"/>
          <w:tblHeader w:val="1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after="0" w:line="24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תוכנית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הלימודים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bidi w:val="1"/>
              <w:spacing w:after="0" w:line="24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נושאים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במיקוד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הלמידה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after="0" w:line="24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מיומנויות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להבנייה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spacing w:after="0" w:line="24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תכני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רשות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תשפ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gridSpan w:val="4"/>
            <w:shd w:fill="fde9d9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after="0" w:line="24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כיתה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spacing w:after="0" w:line="240" w:lineRule="auto"/>
              <w:rPr>
                <w:rFonts w:ascii="David" w:cs="David" w:eastAsia="David" w:hAnsi="David"/>
                <w:color w:val="984806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זיהוי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רכיבי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תהליך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החקר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.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והתנסות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ברכיבי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חקר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שונים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בהקשר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לנושאים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מגוונים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-257809</wp:posOffset>
                  </wp:positionV>
                  <wp:extent cx="273050" cy="277495"/>
                  <wp:effectExtent b="0" l="0" r="0" t="0"/>
                  <wp:wrapNone/>
                  <wp:docPr descr="×ª××× × ×§×©××¨×" id="1" name="image2.png"/>
                  <a:graphic>
                    <a:graphicData uri="http://schemas.openxmlformats.org/drawingml/2006/picture">
                      <pic:pic>
                        <pic:nvPicPr>
                          <pic:cNvPr descr="×ª××× × ×§×©××¨×" id="0" name="image2.png"/>
                          <pic:cNvPicPr preferRelativeResize="0"/>
                        </pic:nvPicPr>
                        <pic:blipFill>
                          <a:blip r:embed="rId10"/>
                          <a:srcRect b="805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74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rPr>
                <w:rFonts w:ascii="David" w:cs="David" w:eastAsia="David" w:hAnsi="David"/>
              </w:rPr>
            </w:pPr>
            <w:bookmarkStart w:colFirst="0" w:colLast="0" w:name="_hjf18mu258wy" w:id="3"/>
            <w:bookmarkEnd w:id="3"/>
            <w:r w:rsidDel="00000000" w:rsidR="00000000" w:rsidRPr="00000000">
              <w:rPr>
                <w:rFonts w:ascii="David" w:cs="David" w:eastAsia="David" w:hAnsi="David"/>
                <w:b w:val="1"/>
                <w:color w:val="000000"/>
                <w:highlight w:val="white"/>
                <w:rtl w:val="1"/>
              </w:rPr>
              <w:t xml:space="preserve">הבנייה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0000"/>
                <w:highlight w:val="white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0000"/>
                <w:highlight w:val="white"/>
                <w:rtl w:val="1"/>
              </w:rPr>
              <w:t xml:space="preserve">שתיים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0000"/>
                <w:highlight w:val="white"/>
                <w:rtl w:val="1"/>
              </w:rPr>
              <w:t xml:space="preserve">מהמיומנויות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0000"/>
                <w:highlight w:val="whit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להעריך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דיווחים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במדיה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לזהות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בהם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טעויות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ואי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דיוקים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ולהשתמש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בהם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באופן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מושכל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לצורך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קבלת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החלטות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בחיי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היום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יום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ובגיבוש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עמדות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בנושאים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אישיים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וחברתיים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מקומיים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ועולמיים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לדוגמה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: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שינוי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אקלים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ind w:left="240" w:firstLine="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לזהות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ולתאר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קשרי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גומלין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משתנים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במערכת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ובין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מערכות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ולבדוק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ההשפעה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שינוי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באחד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מהמשתנים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מהתהליכים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או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מהאינטראקציות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המערכת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.(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כולל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התייחסות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להשפעות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ארוכות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טווח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וקצרות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טווח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לדוגמה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בנושא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מערכת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אקולוגית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רביה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ind w:left="240" w:firstLine="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לבנות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לנתח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ולפרש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ייצוגים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גרפיים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נתונים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לדוגמה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תרשימים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גרפים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או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טבלאות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מדעי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החומר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כימיה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rPr>
                <w:rFonts w:ascii="David" w:cs="David" w:eastAsia="David" w:hAnsi="David"/>
                <w:color w:val="98480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rPr>
                <w:rFonts w:ascii="David" w:cs="David" w:eastAsia="David" w:hAnsi="David"/>
                <w:color w:val="98480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יסודות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ומבנה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האטום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טבלת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היסודות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תרכובות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תערובות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 -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תמיסות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שינויים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בחומר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984806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חוק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שימור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המסה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avid" w:cs="David" w:eastAsia="David" w:hAnsi="David"/>
                <w:color w:val="98480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מדעי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החומר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פיזיקה</w:t>
            </w:r>
          </w:p>
        </w:tc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אנרגיה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חשמלית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98480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משאבי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אנרגיה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הפקה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והשפעת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ההפקה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והשימוש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בה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b w:val="1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כוחות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ושינוי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כוח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החיכוך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ובחיי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יום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יום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 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הכוח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החשמלי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b w:val="1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משקל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ומסה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1f497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כוח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לעומת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אנרגיה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המנוף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כמגביר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כוח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מדעי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החיים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ביולוגיה</w:t>
            </w:r>
          </w:p>
          <w:p w:rsidR="00000000" w:rsidDel="00000000" w:rsidP="00000000" w:rsidRDefault="00000000" w:rsidRPr="00000000" w14:paraId="0000003A">
            <w:pPr>
              <w:bidi w:val="1"/>
              <w:spacing w:after="0" w:line="240" w:lineRule="auto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rPr>
                <w:rFonts w:ascii="David" w:cs="David" w:eastAsia="David" w:hAnsi="David"/>
                <w:b w:val="1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רבייה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חשיבות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רבייה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וצורות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רבייה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רבייה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באדם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1f497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רבייה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בבע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ח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1f497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התפתחות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ביצורים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1f497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התפתחות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באדם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ובבע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ח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מעובר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לבוגר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1f497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מעורבות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אדם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בתהליכי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רבייה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בריאות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ורבייה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מאפייני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חיים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  <w:color w:val="00b0f0"/>
              </w:rPr>
            </w:pP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מערכות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ותהליכים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ביצורים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חיים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: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תקשורת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ובריאות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מערכת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העצבים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מבנה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מערכת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הרבייה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ותפקודה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בצמחים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David" w:cs="David" w:eastAsia="David" w:hAnsi="David"/>
                <w:b w:val="1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מערכות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אקולוגיות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יחסי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גומלין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יצורים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סביבה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b w:val="1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התאמת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צמחים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ובע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ח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לסביבתם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יחסי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גומלין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בין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יצורים</w:t>
            </w:r>
            <w:r w:rsidDel="00000000" w:rsidR="00000000" w:rsidRPr="00000000">
              <w:rPr>
                <w:rFonts w:ascii="David" w:cs="David" w:eastAsia="David" w:hAnsi="David"/>
                <w:rtl w:val="0"/>
              </w:rPr>
              <w:t xml:space="preserve">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טכנולוגיה</w:t>
            </w:r>
          </w:p>
        </w:tc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מערכת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טכנולוגית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מבנה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ופעולה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השפעת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הטכנולוגיה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החברה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ועל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הסביבה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bidi w:val="1"/>
        <w:spacing w:after="0" w:line="360" w:lineRule="auto"/>
        <w:rPr>
          <w:rFonts w:ascii="David" w:cs="David" w:eastAsia="David" w:hAnsi="David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276" w:top="1134" w:left="1800" w:right="1800" w:header="708" w:footer="44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  <w:font w:name="David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תוכנית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הלימודים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מדע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וטכנולוגיה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בבית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הספר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היסודי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ובחטיבות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הביניים</w:t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אגף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מדעים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,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המזכירות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הפדגוגית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,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משרד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החינוך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b0f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</w:pPr>
    <w:rPr>
      <w:rFonts w:ascii="Arial" w:cs="Arial" w:eastAsia="Arial" w:hAnsi="Arial"/>
      <w:b w:val="1"/>
      <w:color w:val="000000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ind w:right="420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  <w:ind w:right="420"/>
    </w:pPr>
    <w:rPr>
      <w:rFonts w:ascii="Arial" w:cs="Arial" w:eastAsia="Arial" w:hAnsi="Arial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2" Type="http://schemas.openxmlformats.org/officeDocument/2006/relationships/footer" Target="footer1.xml"/><Relationship Id="rId9" Type="http://schemas.openxmlformats.org/officeDocument/2006/relationships/hyperlink" Target="https://pop.education.gov.il/tchumey_daat/mada-tehnologia/chativat-beynayim/mada-technologia-pedagogia/curriculum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pop.education.gov.il/tchumey_daat/mada-tehnologia/chativat-beynayim/mada-technologia-pedagogia/curriculum/" TargetMode="External"/><Relationship Id="rId8" Type="http://schemas.openxmlformats.org/officeDocument/2006/relationships/hyperlink" Target="https://pop.education.gov.il/tchumey_daat/mada-tehnologia/chativat-beynayim/mada-technologia-pedagogia/curriculu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